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tabs>
          <w:tab w:val="left" w:pos="1197" w:leader="none"/>
          <w:tab w:val="left" w:pos="2422" w:leader="none"/>
          <w:tab w:val="left" w:pos="3575" w:leader="none"/>
          <w:tab w:val="left" w:pos="4367" w:leader="none"/>
          <w:tab w:val="left" w:pos="5149" w:leader="none"/>
          <w:tab w:val="left" w:pos="6122" w:leader="none"/>
          <w:tab w:val="left" w:pos="7725" w:leader="none"/>
          <w:tab w:val="left" w:pos="8949" w:leader="none"/>
        </w:tabs>
        <w:spacing w:before="77" w:after="0" w:line="240"/>
        <w:ind w:right="497" w:left="119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Sürücüye</w:t>
        <w:tab/>
        <w:t xml:space="preserve">verilmek</w:t>
        <w:tab/>
        <w:t xml:space="preserve">üzere</w:t>
        <w:tab/>
        <w:t xml:space="preserve">yaz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ılı</w:t>
        <w:tab/>
        <w:t xml:space="preserve">talimat</w:t>
        <w:tab/>
        <w:t xml:space="preserve">hazırlanması</w:t>
        <w:tab/>
        <w:t xml:space="preserve">aşağıdaki</w:t>
        <w:tab/>
        <w:t xml:space="preserve">hangi durumlarda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zorunludur?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1556" w:leader="none"/>
          <w:tab w:val="left" w:pos="1557" w:leader="none"/>
        </w:tabs>
        <w:spacing w:before="0" w:after="0" w:line="240"/>
        <w:ind w:right="0" w:left="1556" w:hanging="5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 3268 maddesi ambalajl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 olarak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taşındığında</w:t>
      </w:r>
    </w:p>
    <w:p>
      <w:pPr>
        <w:numPr>
          <w:ilvl w:val="0"/>
          <w:numId w:val="4"/>
        </w:numPr>
        <w:tabs>
          <w:tab w:val="left" w:pos="1556" w:leader="none"/>
          <w:tab w:val="left" w:pos="1557" w:leader="none"/>
        </w:tabs>
        <w:spacing w:before="0" w:after="0" w:line="287"/>
        <w:ind w:right="0" w:left="1556" w:hanging="61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 3271 maddesi iç ambalaj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şına 1 L, dış ambalaj 20 kg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taşındığında</w:t>
      </w:r>
    </w:p>
    <w:p>
      <w:pPr>
        <w:numPr>
          <w:ilvl w:val="0"/>
          <w:numId w:val="4"/>
        </w:numPr>
        <w:tabs>
          <w:tab w:val="left" w:pos="1556" w:leader="none"/>
          <w:tab w:val="left" w:pos="1557" w:leader="none"/>
        </w:tabs>
        <w:spacing w:before="0" w:after="0" w:line="287"/>
        <w:ind w:right="0" w:left="1556" w:hanging="7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 3077 maddesi dökme olarak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şındığında</w:t>
      </w:r>
    </w:p>
    <w:p>
      <w:pPr>
        <w:numPr>
          <w:ilvl w:val="0"/>
          <w:numId w:val="4"/>
        </w:numPr>
        <w:tabs>
          <w:tab w:val="left" w:pos="1556" w:leader="none"/>
          <w:tab w:val="left" w:pos="1557" w:leader="none"/>
        </w:tabs>
        <w:spacing w:before="0" w:after="0" w:line="240"/>
        <w:ind w:right="0" w:left="1556" w:hanging="70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 1902 maddesi iç ambalaj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şına 30 ml, dış ambalaj 1000 ml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taşındığında</w:t>
      </w:r>
    </w:p>
    <w:p>
      <w:pPr>
        <w:numPr>
          <w:ilvl w:val="0"/>
          <w:numId w:val="4"/>
        </w:numPr>
        <w:tabs>
          <w:tab w:val="left" w:pos="1556" w:leader="none"/>
          <w:tab w:val="left" w:pos="1557" w:leader="none"/>
        </w:tabs>
        <w:spacing w:before="0" w:after="0" w:line="240"/>
        <w:ind w:right="0" w:left="1556" w:hanging="6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 2342 maddesi ambalajl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 olarak 350 kg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taşındığında</w:t>
      </w:r>
    </w:p>
    <w:p>
      <w:pPr>
        <w:numPr>
          <w:ilvl w:val="0"/>
          <w:numId w:val="4"/>
        </w:numPr>
        <w:tabs>
          <w:tab w:val="left" w:pos="1556" w:leader="none"/>
          <w:tab w:val="left" w:pos="1557" w:leader="none"/>
        </w:tabs>
        <w:spacing w:before="0" w:after="0" w:line="240"/>
        <w:ind w:right="0" w:left="1556" w:hanging="70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UN 3473 numaral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ı maddenin her biri 40 kg olan 40 koli ile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taşınmasında.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tabs>
          <w:tab w:val="left" w:pos="1470" w:leader="none"/>
          <w:tab w:val="left" w:pos="2662" w:leader="none"/>
          <w:tab w:val="left" w:pos="4350" w:leader="none"/>
          <w:tab w:val="left" w:pos="6064" w:leader="none"/>
        </w:tabs>
        <w:spacing w:before="0" w:after="0" w:line="240"/>
        <w:ind w:right="0" w:left="1470" w:hanging="42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I, II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 I, III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  II, V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II, III ve IV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III, V ve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14. Sürücüye verilmek üzere yaz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ılı talimat hazırlanması aşağıdaki hangi durumlarda zorunludur?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ÇÖZÜM:  Cevap E 1.1.3.6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şıma kategorisi muafiyetinden veya sınırlı ve istisnai miktar muafiyetinden faydalanıldığında, ADR’den  muaf olan maddelerin taşımasında yazılı talimata ihtiya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 yoktur. Buna göre:  I-Gerek yok..  Sütun 14’te TK 4  1.1.3.6’ya göre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ısmen muafiyet var.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II-Gerek yok.. Sütün 7a’da iç ambalaj ba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şına AG II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1 L, AG III için 5 L’ye kadar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ınırlı miktar muafiyeti var. Dış ambalaj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Cilt I, Sf. 609, Ref. 3.4.2’de 30 kg’a kadar muafiyet var.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III-Zorunlu.. Bu maddenin dökme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şımacılığı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bir muafiyet yok. IV-Gerek yok..  Sütun 7b’de E1 istisnai miktar kodu var. Cilt I, Sf. 613, Ref. 3.5.1.2’deki tabloya göre istisnai miktar muafiyeti uygulan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V-Zorunlu.. Sütun 14’de TK 2 yi görüyoruz.  1.1.3.6 muafiyetinde TK 2 için 333 kg’a kadar izin veriliyor. Limiti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şılmış  muaf değil.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VI-Zorunlu.. 40x40=1600kg toplam ta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şınan miktar. TK 3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1000kg’a kadar izin veriliyor. Limiti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şmış.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3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3"/>
          <w:shd w:fill="auto" w:val="clear"/>
        </w:rPr>
      </w:pPr>
    </w:p>
    <w:p>
      <w:pPr>
        <w:numPr>
          <w:ilvl w:val="0"/>
          <w:numId w:val="14"/>
        </w:numPr>
        <w:tabs>
          <w:tab w:val="left" w:pos="1197" w:leader="none"/>
        </w:tabs>
        <w:spacing w:before="77" w:after="0" w:line="276"/>
        <w:ind w:right="493" w:left="47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İzmit’te bulunan Flare Teknik Kimyasalları firması, motor par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çalar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ının temizliğinde kullanılan “ FLARETEX” isimli bir sıvı kimyasal malzeme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üretmektedir. 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şlangı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 kaynama noktas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 38 C ve Parlama noktası 22 C olan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ürünün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ayn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zamanda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tozların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dumanların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solunması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yoluyla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saatlik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LC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16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zehirlilik değeri 0,2 dir. Bu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ürün 500 mL lik iç ambalajlarda, 20 kg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ık dış paketlerde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toplam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350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olmak</w:t>
      </w:r>
      <w:r>
        <w:rPr>
          <w:rFonts w:ascii="Times New Roman" w:hAnsi="Times New Roman" w:cs="Times New Roman" w:eastAsia="Times New Roman"/>
          <w:b/>
          <w:color w:val="auto"/>
          <w:spacing w:val="-17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üzere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araca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yüklenerek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İzmit’ten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1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Ankara’ya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önderilecektir. Bu 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şımacılık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çin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1"/>
          <w:sz w:val="25"/>
          <w:shd w:fill="auto" w:val="clear"/>
        </w:rPr>
        <w:t xml:space="preserve">şağıdakilerden hangisi/ hangileri doğrudur?</w:t>
      </w:r>
    </w:p>
    <w:p>
      <w:pPr>
        <w:numPr>
          <w:ilvl w:val="0"/>
          <w:numId w:val="14"/>
        </w:numPr>
        <w:tabs>
          <w:tab w:val="left" w:pos="1916" w:leader="none"/>
          <w:tab w:val="left" w:pos="1917" w:leader="none"/>
        </w:tabs>
        <w:spacing w:before="0" w:after="0" w:line="240"/>
        <w:ind w:right="0" w:left="1196" w:hanging="521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şıma evrakı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gereklidir</w:t>
      </w:r>
    </w:p>
    <w:p>
      <w:pPr>
        <w:numPr>
          <w:ilvl w:val="0"/>
          <w:numId w:val="14"/>
        </w:numPr>
        <w:tabs>
          <w:tab w:val="left" w:pos="1916" w:leader="none"/>
          <w:tab w:val="left" w:pos="1917" w:leader="none"/>
        </w:tabs>
        <w:spacing w:before="22" w:after="0" w:line="240"/>
        <w:ind w:right="0" w:left="1196" w:hanging="61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Sürücünün “ADR sürücü 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ğitim sertifikası” sahibi olması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zorunludur.</w:t>
      </w:r>
    </w:p>
    <w:p>
      <w:pPr>
        <w:numPr>
          <w:ilvl w:val="0"/>
          <w:numId w:val="14"/>
        </w:numPr>
        <w:tabs>
          <w:tab w:val="left" w:pos="1916" w:leader="none"/>
          <w:tab w:val="left" w:pos="1917" w:leader="none"/>
        </w:tabs>
        <w:spacing w:before="25" w:after="0" w:line="240"/>
        <w:ind w:right="0" w:left="1196" w:hanging="715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 ambalaj olarak cam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kullan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ılabilir.</w:t>
      </w:r>
    </w:p>
    <w:p>
      <w:pPr>
        <w:numPr>
          <w:ilvl w:val="0"/>
          <w:numId w:val="14"/>
        </w:numPr>
        <w:tabs>
          <w:tab w:val="left" w:pos="1916" w:leader="none"/>
          <w:tab w:val="left" w:pos="1917" w:leader="none"/>
        </w:tabs>
        <w:spacing w:before="22" w:after="0" w:line="240"/>
        <w:ind w:right="0" w:left="1196" w:hanging="701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9.1.3.5 de belirtilen Araç onay sertifikas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ına gerek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yoktur.</w:t>
      </w:r>
    </w:p>
    <w:p>
      <w:pPr>
        <w:numPr>
          <w:ilvl w:val="0"/>
          <w:numId w:val="14"/>
        </w:numPr>
        <w:tabs>
          <w:tab w:val="left" w:pos="1917" w:leader="none"/>
        </w:tabs>
        <w:spacing w:before="22" w:after="0" w:line="259"/>
        <w:ind w:right="496" w:left="1196" w:hanging="602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Araç bu 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şımacılık sırasında bir kaza ge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çirmi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ştir. Bu kazanın neticesinde herhangi bir miktarda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ürün kayb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 olmamış fakat aracın altyapısına 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önelik olarak tahmini 55.000 Avro kadar maddi zarar tespit edilmi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ştir, bu durumda bir rapor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yazılmalıdır.</w:t>
      </w:r>
    </w:p>
    <w:p>
      <w:pPr>
        <w:numPr>
          <w:ilvl w:val="0"/>
          <w:numId w:val="14"/>
        </w:numPr>
        <w:tabs>
          <w:tab w:val="left" w:pos="1916" w:leader="none"/>
          <w:tab w:val="left" w:pos="1917" w:leader="none"/>
        </w:tabs>
        <w:spacing w:before="0" w:after="0" w:line="261"/>
        <w:ind w:right="497" w:left="1196" w:hanging="701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Kaza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ırasında 2 adet dış paket hasar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örmü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 ve bu paketlerdeki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ürünler tamamen dökülmü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ür ancak olay bildirim raporu yazmaya gerek</w:t>
      </w:r>
      <w:r>
        <w:rPr>
          <w:rFonts w:ascii="Arial" w:hAnsi="Arial" w:cs="Arial" w:eastAsia="Arial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yoktur.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982" w:leader="none"/>
        </w:tabs>
        <w:spacing w:before="0" w:after="0" w:line="240"/>
        <w:ind w:right="0" w:left="44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III, IV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II, III ve IV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I, III ve VI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III, V ve VI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I, II, IV ve</w:t>
      </w:r>
      <w:r>
        <w:rPr>
          <w:rFonts w:ascii="Arial" w:hAnsi="Arial" w:cs="Arial" w:eastAsia="Arial"/>
          <w:color w:val="auto"/>
          <w:spacing w:val="-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İzmit’te bulunan Flare Teknik Kimyasalları firması, motor par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çalar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ının temizliğinde kullanılan “ FLARETEX” isimli bir sıvı kimyasal malzeme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üretmektedir. Ba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şlangı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 kaynama noktas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 38 C ve Parlama noktası 22 C olan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ürünün ayn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 zamanda tozların ve dumanların solunması  yoluyla 4 saatlik LC50 zehirlilik değeri 0,2 dir. Bu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ürün 500 mL lik iç ambalajlarda, 20 kg 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ık dış paketlerde ve toplam 350 L olmak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üzere araca yüklenerek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İzmit’ten Ankara’ya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önderilecektir. Bu 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şımacılık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şağıdakilerden hangisi/ hangileri doğrudur?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Cevap A -- Firma bir kar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ışım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üretmektedir. Öncelikle kar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ışımın UN numarasını bulalım.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1.madde- KN=38, PN=22 -&gt; Kaynama-parlama noktas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 verdiği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ınıf 3. Cilt I, Sf. 142’deki tabloya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öre AG II.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2.madde- LC50=0,8 (4 saatlik 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ğer verdiği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4’le çarpt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ık, Ref.2.2.61.1.7.3) -&gt; Zehirlilik verdiği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ınıf 6.1. Cilt I, Sf. 186’daki tabloya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öre AG II.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Cilt I, Sf. 102, kar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ışım tablosuna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öre 3, II x 6.1, II = 3, II , ikincil riski “zehirli” Cilt I, Sf. 144,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ınıf 3 toplu kayıt listesinden ikincil riski “zehirli” olanlara bakıyoruz. Karışım sonucu ortaya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ıkan maddenin pestisit olduğu ile ilgili bilgi soruda olmadığı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FT1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ınıflandırma kodundan UN numarası belirleyeceğiz. Herhangi bir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özel isim belirtilmedi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ği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en genel olan UN 1992 yi seçiyoruz. Kar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ışım -&gt; UN 1992 ALEVLENİR SIVI, ZEHİRLİ, B.B.B., AG II Soruda 500ml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 ambalaj dedi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ği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ınırlı miktar muafiyetini control edeceğiz. Tablo 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ütun 7a’da 1 L’ye kadar izin veriliyor. Cilt I Sf. 609, Ref. 3.4.2’ye göre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ış ambalaj miktarı da uygun. Buna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öre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ınırlı miktar muafiyeti uygulanır. Yani sadece Cilt I, Sf. 609, Ref. 3.4.1’de belirtilen 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ükümler geçerlidir.</w:t>
      </w:r>
    </w:p>
    <w:p>
      <w:pPr>
        <w:numPr>
          <w:ilvl w:val="0"/>
          <w:numId w:val="24"/>
        </w:numPr>
        <w:spacing w:before="0" w:after="200" w:line="276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Yanl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ış </w:t>
      </w:r>
    </w:p>
    <w:p>
      <w:pPr>
        <w:numPr>
          <w:ilvl w:val="0"/>
          <w:numId w:val="24"/>
        </w:numPr>
        <w:spacing w:before="0" w:after="200" w:line="276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Yanl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ış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ürücünün  SRC5 ’e gerek yoktur</w:t>
      </w:r>
    </w:p>
    <w:p>
      <w:pPr>
        <w:numPr>
          <w:ilvl w:val="0"/>
          <w:numId w:val="24"/>
        </w:numPr>
        <w:spacing w:before="0" w:after="200" w:line="276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ğru ..s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ütun 8  p001 talimat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 Cilt II, Sf . 38, . 10  lt’ye  kadar cam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 ambalaja izin veriliyor. </w:t>
      </w:r>
    </w:p>
    <w:p>
      <w:pPr>
        <w:numPr>
          <w:ilvl w:val="0"/>
          <w:numId w:val="24"/>
        </w:numPr>
        <w:spacing w:before="0" w:after="200" w:line="276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IV-Do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ğru.. 9.1.3.5 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ükmü uygulanmaz. </w:t>
      </w:r>
    </w:p>
    <w:p>
      <w:pPr>
        <w:numPr>
          <w:ilvl w:val="0"/>
          <w:numId w:val="24"/>
        </w:numPr>
        <w:spacing w:before="0" w:after="200" w:line="276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V-Yanl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ış... kaza raporu yazılması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gereken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şartlar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ölüm 1.8.5’te verilmi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ştir. Bu taşımada 1.8 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ükümleri uygulan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ır. Bu nedenle Cilt I, Sf. 68’de belirtildiği gibi 50.000 Avroyu aşan kayıplarda rapor hazırlanır, fakat bu hasar ara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 altyap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ısında olduğu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göz önüne 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ınmaz..</w:t>
      </w:r>
    </w:p>
    <w:p>
      <w:pPr>
        <w:numPr>
          <w:ilvl w:val="0"/>
          <w:numId w:val="24"/>
        </w:numPr>
        <w:spacing w:before="0" w:after="200" w:line="276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VI-Do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ğru.. Cilt I, Sf. 67’de Tk 2 maddeleri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333kg ve fazla kay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ıp durumunda rapor hazırlanır. 2 dış paket = 40 kg. Limit altı olduğu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çin rapora gerek yok.(TK için Tablo A Sütun 15) 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11">
    <w:abstractNumId w:val="12"/>
  </w:num>
  <w:num w:numId="14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